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A56FA7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 xml:space="preserve">нежилого помещения  </w:t>
      </w:r>
      <w:r w:rsidR="005872BE" w:rsidRPr="005872BE">
        <w:rPr>
          <w:sz w:val="28"/>
          <w:szCs w:val="28"/>
        </w:rPr>
        <w:tab/>
        <w:t xml:space="preserve">по </w:t>
      </w:r>
      <w:proofErr w:type="spellStart"/>
      <w:r w:rsidR="005872BE" w:rsidRPr="005872BE">
        <w:rPr>
          <w:sz w:val="28"/>
          <w:szCs w:val="28"/>
        </w:rPr>
        <w:t>пр</w:t>
      </w:r>
      <w:proofErr w:type="spellEnd"/>
      <w:r w:rsidR="005872BE" w:rsidRPr="005872BE">
        <w:rPr>
          <w:sz w:val="28"/>
          <w:szCs w:val="28"/>
        </w:rPr>
        <w:t>-ту Мира, д. 118, пом. 63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5872B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72BE" w:rsidRDefault="002E1B5A" w:rsidP="005872BE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5872BE" w:rsidRPr="005872BE">
        <w:rPr>
          <w:sz w:val="28"/>
          <w:szCs w:val="28"/>
        </w:rPr>
        <w:t xml:space="preserve">Нежилое помещение общей площадью 193,6 кв. м, расположенное по адресу: г. Красноярск, </w:t>
      </w:r>
      <w:proofErr w:type="spellStart"/>
      <w:r w:rsidR="005872BE" w:rsidRPr="005872BE">
        <w:rPr>
          <w:sz w:val="28"/>
          <w:szCs w:val="28"/>
        </w:rPr>
        <w:t>пр</w:t>
      </w:r>
      <w:proofErr w:type="spellEnd"/>
      <w:r w:rsidR="005872BE" w:rsidRPr="005872BE">
        <w:rPr>
          <w:sz w:val="28"/>
          <w:szCs w:val="28"/>
        </w:rPr>
        <w:t>-ту Мира, д. 118, пом. 63.</w:t>
      </w:r>
      <w:r w:rsidR="005872BE">
        <w:rPr>
          <w:sz w:val="28"/>
          <w:szCs w:val="28"/>
        </w:rPr>
        <w:t xml:space="preserve"> </w:t>
      </w:r>
      <w:r w:rsidR="005872BE" w:rsidRPr="005872BE">
        <w:rPr>
          <w:sz w:val="28"/>
          <w:szCs w:val="28"/>
        </w:rPr>
        <w:t>Нежилое помещение находится в подвале четырехэтажного жилого дома 1947 года постройки. Отдельный вход имеется.</w:t>
      </w:r>
    </w:p>
    <w:p w:rsidR="007260C6" w:rsidRPr="00732C4E" w:rsidRDefault="00380EE7" w:rsidP="005872BE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64D35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64D35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64D35">
        <w:rPr>
          <w:sz w:val="28"/>
          <w:szCs w:val="28"/>
        </w:rPr>
        <w:t>24</w:t>
      </w:r>
      <w:bookmarkStart w:id="0" w:name="_GoBack"/>
      <w:bookmarkEnd w:id="0"/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E2" w:rsidRDefault="008B68E2">
      <w:r>
        <w:separator/>
      </w:r>
    </w:p>
  </w:endnote>
  <w:endnote w:type="continuationSeparator" w:id="0">
    <w:p w:rsidR="008B68E2" w:rsidRDefault="008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D3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E2" w:rsidRDefault="008B68E2">
      <w:r>
        <w:separator/>
      </w:r>
    </w:p>
  </w:footnote>
  <w:footnote w:type="continuationSeparator" w:id="0">
    <w:p w:rsidR="008B68E2" w:rsidRDefault="008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64D35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872BE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B68E2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F937B5-7331-4AD0-9585-D18B3706EF63}"/>
</file>

<file path=customXml/itemProps2.xml><?xml version="1.0" encoding="utf-8"?>
<ds:datastoreItem xmlns:ds="http://schemas.openxmlformats.org/officeDocument/2006/customXml" ds:itemID="{BD670099-3507-414D-A15C-226A93999CF0}"/>
</file>

<file path=customXml/itemProps3.xml><?xml version="1.0" encoding="utf-8"?>
<ds:datastoreItem xmlns:ds="http://schemas.openxmlformats.org/officeDocument/2006/customXml" ds:itemID="{4CF29AB9-2223-4027-B4E0-B2AA6B7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2018-07-11T10:19:00Z</cp:lastPrinted>
  <dcterms:created xsi:type="dcterms:W3CDTF">2018-07-24T05:16:00Z</dcterms:created>
  <dcterms:modified xsi:type="dcterms:W3CDTF">2018-07-24T05:23:00Z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